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14" w:rsidRDefault="008C7514" w:rsidP="00FA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60</w:t>
      </w:r>
    </w:p>
    <w:p w:rsidR="00FA1415" w:rsidRDefault="00AC3B6C" w:rsidP="00FA1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A1415">
        <w:rPr>
          <w:rFonts w:ascii="Times New Roman" w:eastAsia="Times New Roman" w:hAnsi="Times New Roman" w:cs="Times New Roman"/>
          <w:b/>
          <w:bCs/>
        </w:rPr>
        <w:t>DETERMINACIÓN DE MARCADORES LIPÍDICOS ASOCIADOS A RIESGO CARDIOVASCULAR EN NIÑOS MEDIANTE PESQUISA UNIVERSAL DE DISLIPIDEMIA</w:t>
      </w:r>
    </w:p>
    <w:p w:rsidR="00342E27" w:rsidRDefault="00AC3B6C" w:rsidP="00FA141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FA1415">
        <w:rPr>
          <w:rFonts w:ascii="Times New Roman" w:eastAsia="Times New Roman" w:hAnsi="Times New Roman" w:cs="Times New Roman"/>
        </w:rPr>
        <w:t>Paulina Bustos Araya</w:t>
      </w:r>
      <w:r w:rsidRPr="00FA1415">
        <w:rPr>
          <w:rFonts w:ascii="Times New Roman" w:eastAsia="Times New Roman" w:hAnsi="Times New Roman" w:cs="Times New Roman"/>
          <w:vertAlign w:val="superscript"/>
        </w:rPr>
        <w:t>1</w:t>
      </w:r>
      <w:r w:rsidRPr="00FA1415">
        <w:rPr>
          <w:rFonts w:ascii="Times New Roman" w:eastAsia="Times New Roman" w:hAnsi="Times New Roman" w:cs="Times New Roman"/>
        </w:rPr>
        <w:t>, Claudia Radojkovic Navarro</w:t>
      </w:r>
      <w:r w:rsidRPr="00FA1415">
        <w:rPr>
          <w:rFonts w:ascii="Times New Roman" w:eastAsia="Times New Roman" w:hAnsi="Times New Roman" w:cs="Times New Roman"/>
          <w:vertAlign w:val="superscript"/>
        </w:rPr>
        <w:t>1</w:t>
      </w:r>
      <w:r w:rsidRPr="00FA1415">
        <w:rPr>
          <w:rFonts w:ascii="Times New Roman" w:eastAsia="Times New Roman" w:hAnsi="Times New Roman" w:cs="Times New Roman"/>
        </w:rPr>
        <w:t>, Andrea Sánchez Rubio</w:t>
      </w:r>
      <w:r w:rsidRPr="00FA1415">
        <w:rPr>
          <w:rFonts w:ascii="Times New Roman" w:eastAsia="Times New Roman" w:hAnsi="Times New Roman" w:cs="Times New Roman"/>
          <w:vertAlign w:val="superscript"/>
        </w:rPr>
        <w:t>1</w:t>
      </w:r>
      <w:r w:rsidRPr="00FA1415">
        <w:rPr>
          <w:rFonts w:ascii="Times New Roman" w:eastAsia="Times New Roman" w:hAnsi="Times New Roman" w:cs="Times New Roman"/>
        </w:rPr>
        <w:t>, Katia Sáez Carrillo</w:t>
      </w:r>
      <w:r w:rsidRPr="00FA1415">
        <w:rPr>
          <w:rFonts w:ascii="Times New Roman" w:eastAsia="Times New Roman" w:hAnsi="Times New Roman" w:cs="Times New Roman"/>
          <w:vertAlign w:val="superscript"/>
        </w:rPr>
        <w:t>2</w:t>
      </w:r>
      <w:r w:rsidRPr="00FA1415">
        <w:rPr>
          <w:rFonts w:ascii="Times New Roman" w:eastAsia="Times New Roman" w:hAnsi="Times New Roman" w:cs="Times New Roman"/>
        </w:rPr>
        <w:t>, Consuelo Merino González</w:t>
      </w:r>
      <w:r w:rsidRPr="00FA1415">
        <w:rPr>
          <w:rFonts w:ascii="Times New Roman" w:eastAsia="Times New Roman" w:hAnsi="Times New Roman" w:cs="Times New Roman"/>
          <w:vertAlign w:val="superscript"/>
        </w:rPr>
        <w:t>1</w:t>
      </w:r>
      <w:r w:rsidRPr="00FA1415">
        <w:rPr>
          <w:rFonts w:ascii="Times New Roman" w:eastAsia="Times New Roman" w:hAnsi="Times New Roman" w:cs="Times New Roman"/>
        </w:rPr>
        <w:t>, Daniel Martínez Zavala</w:t>
      </w:r>
      <w:r w:rsidRPr="00FA1415">
        <w:rPr>
          <w:rFonts w:ascii="Times New Roman" w:eastAsia="Times New Roman" w:hAnsi="Times New Roman" w:cs="Times New Roman"/>
          <w:vertAlign w:val="superscript"/>
        </w:rPr>
        <w:t>3</w:t>
      </w:r>
      <w:r w:rsidRPr="00FA1415">
        <w:rPr>
          <w:rFonts w:ascii="Times New Roman" w:eastAsia="Times New Roman" w:hAnsi="Times New Roman" w:cs="Times New Roman"/>
        </w:rPr>
        <w:t>, Claudia Leal Bórquez</w:t>
      </w:r>
      <w:r w:rsidRPr="00FA1415">
        <w:rPr>
          <w:rFonts w:ascii="Times New Roman" w:eastAsia="Times New Roman" w:hAnsi="Times New Roman" w:cs="Times New Roman"/>
          <w:vertAlign w:val="superscript"/>
        </w:rPr>
        <w:t>3</w:t>
      </w:r>
      <w:r w:rsidRPr="00FA1415">
        <w:rPr>
          <w:rFonts w:ascii="Times New Roman" w:eastAsia="Times New Roman" w:hAnsi="Times New Roman" w:cs="Times New Roman"/>
        </w:rPr>
        <w:t>, S</w:t>
      </w:r>
      <w:r w:rsidR="00FA1415">
        <w:rPr>
          <w:rFonts w:ascii="Times New Roman" w:eastAsia="Times New Roman" w:hAnsi="Times New Roman" w:cs="Times New Roman"/>
        </w:rPr>
        <w:t>ylvia M. Asenjo Mardones</w:t>
      </w:r>
      <w:r w:rsidRPr="00FA1415">
        <w:rPr>
          <w:rFonts w:ascii="Times New Roman" w:eastAsia="Times New Roman" w:hAnsi="Times New Roman" w:cs="Times New Roman"/>
          <w:vertAlign w:val="superscript"/>
        </w:rPr>
        <w:t>3</w:t>
      </w:r>
    </w:p>
    <w:p w:rsidR="00FA1415" w:rsidRDefault="00AC3B6C" w:rsidP="00FA14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1415">
        <w:rPr>
          <w:rFonts w:ascii="Times New Roman" w:eastAsia="Times New Roman" w:hAnsi="Times New Roman" w:cs="Times New Roman"/>
          <w:vertAlign w:val="superscript"/>
        </w:rPr>
        <w:t>1</w:t>
      </w:r>
      <w:r w:rsidR="00FA1415">
        <w:rPr>
          <w:rFonts w:ascii="Times New Roman" w:eastAsia="Times New Roman" w:hAnsi="Times New Roman" w:cs="Times New Roman"/>
        </w:rPr>
        <w:t>Departamento de</w:t>
      </w:r>
      <w:r w:rsidRPr="00FA1415">
        <w:rPr>
          <w:rFonts w:ascii="Times New Roman" w:eastAsia="Times New Roman" w:hAnsi="Times New Roman" w:cs="Times New Roman"/>
        </w:rPr>
        <w:t xml:space="preserve"> Bioquímica Clínica e Inmunología, Facultad de Farmacia, Universidad de Concepción., </w:t>
      </w:r>
      <w:r w:rsidRPr="00FA1415">
        <w:rPr>
          <w:rFonts w:ascii="Times New Roman" w:eastAsia="Times New Roman" w:hAnsi="Times New Roman" w:cs="Times New Roman"/>
          <w:vertAlign w:val="superscript"/>
        </w:rPr>
        <w:t>2</w:t>
      </w:r>
      <w:r w:rsidR="00FA1415">
        <w:rPr>
          <w:rFonts w:ascii="Times New Roman" w:eastAsia="Times New Roman" w:hAnsi="Times New Roman" w:cs="Times New Roman"/>
        </w:rPr>
        <w:t xml:space="preserve">Departamento de </w:t>
      </w:r>
      <w:r w:rsidRPr="00FA1415">
        <w:rPr>
          <w:rFonts w:ascii="Times New Roman" w:eastAsia="Times New Roman" w:hAnsi="Times New Roman" w:cs="Times New Roman"/>
        </w:rPr>
        <w:t xml:space="preserve">Estadística, Facultad de Ciencias Físicas y Matemáticas, Universidad de Concepción., </w:t>
      </w:r>
      <w:r w:rsidRPr="00FA1415">
        <w:rPr>
          <w:rFonts w:ascii="Times New Roman" w:eastAsia="Times New Roman" w:hAnsi="Times New Roman" w:cs="Times New Roman"/>
          <w:vertAlign w:val="superscript"/>
        </w:rPr>
        <w:t>3</w:t>
      </w:r>
      <w:r w:rsidR="00FA1415">
        <w:rPr>
          <w:rFonts w:ascii="Times New Roman" w:eastAsia="Times New Roman" w:hAnsi="Times New Roman" w:cs="Times New Roman"/>
        </w:rPr>
        <w:t xml:space="preserve"> Departamento de </w:t>
      </w:r>
      <w:r w:rsidRPr="00FA1415">
        <w:rPr>
          <w:rFonts w:ascii="Times New Roman" w:eastAsia="Times New Roman" w:hAnsi="Times New Roman" w:cs="Times New Roman"/>
        </w:rPr>
        <w:t>Pediatría, Facultad de Medi</w:t>
      </w:r>
      <w:r w:rsidR="00FA1415">
        <w:rPr>
          <w:rFonts w:ascii="Times New Roman" w:eastAsia="Times New Roman" w:hAnsi="Times New Roman" w:cs="Times New Roman"/>
        </w:rPr>
        <w:t>cina, Universidad de Concepción</w:t>
      </w:r>
    </w:p>
    <w:p w:rsidR="00AA3660" w:rsidRPr="00FA1415" w:rsidRDefault="00AC3B6C" w:rsidP="00FA14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1415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AA3660" w:rsidRPr="00FA1415" w:rsidRDefault="00AC3B6C" w:rsidP="00FA141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A1415">
        <w:rPr>
          <w:sz w:val="22"/>
          <w:szCs w:val="22"/>
        </w:rPr>
        <w:t xml:space="preserve">La enfermedad cardiovascular es la principal causa de morbilidad y mortalidad en Chile. Si bien los eventos cardiovasculares se manifiestan en la vida adulta, el proceso </w:t>
      </w:r>
      <w:proofErr w:type="spellStart"/>
      <w:r w:rsidRPr="00FA1415">
        <w:rPr>
          <w:sz w:val="22"/>
          <w:szCs w:val="22"/>
        </w:rPr>
        <w:t>aterogénico</w:t>
      </w:r>
      <w:proofErr w:type="spellEnd"/>
      <w:r w:rsidRPr="00FA1415">
        <w:rPr>
          <w:sz w:val="22"/>
          <w:szCs w:val="22"/>
        </w:rPr>
        <w:t xml:space="preserve"> subyacente a la patología cardiovascular, se inicia en la niñez.</w:t>
      </w:r>
    </w:p>
    <w:p w:rsidR="00AA3660" w:rsidRPr="00FA1415" w:rsidRDefault="00AC3B6C" w:rsidP="00FA141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A1415">
        <w:rPr>
          <w:sz w:val="22"/>
          <w:szCs w:val="22"/>
        </w:rPr>
        <w:t xml:space="preserve">Objetivo: Pesquisar dislipidemia y determinar marcadores </w:t>
      </w:r>
      <w:proofErr w:type="spellStart"/>
      <w:r w:rsidRPr="00FA1415">
        <w:rPr>
          <w:sz w:val="22"/>
          <w:szCs w:val="22"/>
        </w:rPr>
        <w:t>lipídicos</w:t>
      </w:r>
      <w:proofErr w:type="spellEnd"/>
      <w:r w:rsidRPr="00FA1415">
        <w:rPr>
          <w:sz w:val="22"/>
          <w:szCs w:val="22"/>
        </w:rPr>
        <w:t xml:space="preserve"> asociados a riesgo cardiovascular en niños.</w:t>
      </w:r>
    </w:p>
    <w:p w:rsidR="00AA3660" w:rsidRPr="00FA1415" w:rsidRDefault="00AC3B6C" w:rsidP="00FA141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A1415">
        <w:rPr>
          <w:sz w:val="22"/>
          <w:szCs w:val="22"/>
        </w:rPr>
        <w:t>Estudio descriptivo de corte transversal. La población fue de 476 escolares (279 niñas y 197 niños), de edad promedio 10,01 ± 0,99 años, de Concepción. Se evaluó el estado nutricional según el IMC. Se cuantificó colesterol total (CT), colesterol HDL (C-HDL) y triglicéridos (TG) (Valor elevado: ≥130 en &gt;10 años y ≥100 mg/dL en &lt;10 años) (Respons 920, Diasys). El colesterol LDL (C-LDL) se calculó por fórmula de Friedewald. El colesterol no-HDL (C-noHDL) se obtuvo mediante la diferencia entre CT y C-HDL (Valor elevado ≥145 mg/dL) y se calculó la razón TG/C-HDL (Valor elevado: ≥3,25 en &gt;10 años y ≥2,5 en &lt;10 años).</w:t>
      </w:r>
    </w:p>
    <w:p w:rsidR="00AA3660" w:rsidRPr="00FA1415" w:rsidRDefault="00AC3B6C" w:rsidP="00FA141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A1415">
        <w:rPr>
          <w:sz w:val="22"/>
          <w:szCs w:val="22"/>
        </w:rPr>
        <w:t>Mediante pesquisa universal, se detectó dislipidemia en el 34,1% de los niños caracterizada por concentraciones altas de: TG 20,3%, CT 10%, C-LDL 5,1% y un 12,2% con C-HDL bajo. Valores altos de C-noHDL en el 8,7% y de la razón TG/C-HDL en un 13,9%. Según el estado nutricional, el 43.7% de los niños fue normopeso, el 28.8% sobrepeso y un 25,2% presentó obesidad.</w:t>
      </w:r>
    </w:p>
    <w:p w:rsidR="00AA3660" w:rsidRPr="00FA1415" w:rsidRDefault="00AC3B6C" w:rsidP="00FA141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A1415">
        <w:rPr>
          <w:sz w:val="22"/>
          <w:szCs w:val="22"/>
        </w:rPr>
        <w:t>Del total de la población, un 71,4 % (n=428) presentó un valor normal de C-noHDL y un 28,6% (n=41) un valor ≥145 mg/dL. Los niños con valores altos de C-noHDL presentaron un IMC z-score de 1,4 y en aquellos con C-noHDL normal fue de 0,93 (p=0,0012). El grupo con C-noHDL &lt;145 mg/dL mostró un C-LDL promedio de 84±21 mg/dL versus 132±18 mg/dL en aquellos con C-noHDL alto. En el grupo con C-noHDL elevado, el 51,2% presentó también C-LDL alto en contraste con el 0,7% de aquellos con C-noHDL normal (p&lt;0,0001). La correlación entre C-noHDL y C-LDL fue positiva (r= 0,943) y altamente significativa (p&lt;0,0001). El 66,7% de los escolares con C-LDL alto presentó también C-noHDL elevado.</w:t>
      </w:r>
    </w:p>
    <w:p w:rsidR="00AA3660" w:rsidRPr="00FA1415" w:rsidRDefault="00AC3B6C" w:rsidP="00FA141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A1415">
        <w:rPr>
          <w:sz w:val="22"/>
          <w:szCs w:val="22"/>
        </w:rPr>
        <w:t xml:space="preserve">Los niños con valores altos de la razón TG/C-HDL (n=65) presentaron un </w:t>
      </w:r>
      <w:proofErr w:type="spellStart"/>
      <w:r w:rsidRPr="00FA1415">
        <w:rPr>
          <w:sz w:val="22"/>
          <w:szCs w:val="22"/>
        </w:rPr>
        <w:t>IMCz</w:t>
      </w:r>
      <w:proofErr w:type="spellEnd"/>
      <w:r w:rsidRPr="00FA1415">
        <w:rPr>
          <w:sz w:val="22"/>
          <w:szCs w:val="22"/>
        </w:rPr>
        <w:t>-score significativamente superior a aquellos con TG/C-HDL normal (n=404</w:t>
      </w:r>
      <w:proofErr w:type="gramStart"/>
      <w:r w:rsidRPr="00FA1415">
        <w:rPr>
          <w:sz w:val="22"/>
          <w:szCs w:val="22"/>
        </w:rPr>
        <w:t>)(</w:t>
      </w:r>
      <w:proofErr w:type="gramEnd"/>
      <w:r w:rsidRPr="00FA1415">
        <w:rPr>
          <w:sz w:val="22"/>
          <w:szCs w:val="22"/>
        </w:rPr>
        <w:t>1,48 vs 0,89, p&lt;0,0001). El 6,3% de la población normopeso presentó un valor alto de TG/C-HDL, el 16,1% de los sobrepeso y un 25% de aquellos con obesidad (p&lt;0,0001). En niños con valores elevados de TG/C-HDL, el 7,7% presentó C-LDL alto en comparación con el 4,7% de aquellos con valores normales de TG/C-HDL (p=0,31).</w:t>
      </w:r>
    </w:p>
    <w:p w:rsidR="00AA3660" w:rsidRPr="00FA1415" w:rsidRDefault="00AC3B6C" w:rsidP="00FA141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A1415">
        <w:rPr>
          <w:sz w:val="22"/>
          <w:szCs w:val="22"/>
        </w:rPr>
        <w:t xml:space="preserve">La pesquisa universal permitió identificar un alto porcentaje de niños con dislipidemia. El C-noHDL es un marcador de dislipidemia presente desde la niñez. La razón TG/C-HDL elevada, marcador de dislipidemia </w:t>
      </w:r>
      <w:proofErr w:type="spellStart"/>
      <w:r w:rsidRPr="00FA1415">
        <w:rPr>
          <w:sz w:val="22"/>
          <w:szCs w:val="22"/>
        </w:rPr>
        <w:t>aterogénica</w:t>
      </w:r>
      <w:proofErr w:type="spellEnd"/>
      <w:r w:rsidRPr="00FA1415">
        <w:rPr>
          <w:sz w:val="22"/>
          <w:szCs w:val="22"/>
        </w:rPr>
        <w:t>, se encontró principalmente asociada a obesidad. La pesquisa de dislipidemia debe ser iniciada en la niñez, y así contribuir a la prevención de futura enfermedad cardiovascular en la vida adulta.</w:t>
      </w:r>
    </w:p>
    <w:p w:rsidR="00AC3B6C" w:rsidRPr="00FA1415" w:rsidRDefault="00AC3B6C" w:rsidP="00FA14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1415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FA1415">
        <w:rPr>
          <w:rFonts w:ascii="Times New Roman" w:eastAsia="Times New Roman" w:hAnsi="Times New Roman" w:cs="Times New Roman"/>
        </w:rPr>
        <w:t xml:space="preserve">Proyecto VRID-UDEC, 216.088.026-1.0. </w:t>
      </w:r>
    </w:p>
    <w:sectPr w:rsidR="00AC3B6C" w:rsidRPr="00FA1415" w:rsidSect="00AA3660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4200"/>
    <w:rsid w:val="002B49E9"/>
    <w:rsid w:val="00342E27"/>
    <w:rsid w:val="008C7514"/>
    <w:rsid w:val="00910C41"/>
    <w:rsid w:val="00AA3660"/>
    <w:rsid w:val="00AC3B6C"/>
    <w:rsid w:val="00D24200"/>
    <w:rsid w:val="00FA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2018-08-06T22:55:00Z</dcterms:created>
  <dcterms:modified xsi:type="dcterms:W3CDTF">2018-09-30T20:48:00Z</dcterms:modified>
</cp:coreProperties>
</file>